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87D1" w14:textId="29DE126D" w:rsidR="00EB68E2" w:rsidRDefault="00EB68E2" w:rsidP="00EB68E2">
      <w:pPr>
        <w:ind w:left="-5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7874C4" wp14:editId="2B9B911F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4800600" cy="9893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64F">
        <w:t xml:space="preserve"> </w:t>
      </w:r>
      <w:r w:rsidR="00E835DC">
        <w:t xml:space="preserve">  </w:t>
      </w:r>
      <w:r w:rsidR="00913D50">
        <w:t xml:space="preserve">       </w:t>
      </w:r>
      <w:r w:rsidR="006A6528">
        <w:t xml:space="preserve">  </w:t>
      </w:r>
      <w:r w:rsidR="00EE7D2F">
        <w:t xml:space="preserve">     </w:t>
      </w:r>
    </w:p>
    <w:p w14:paraId="0C28B1D6" w14:textId="72EEE3B8" w:rsidR="00AC72E5" w:rsidRPr="00AC72E5" w:rsidRDefault="00EB68E2" w:rsidP="00EB68E2">
      <w:pPr>
        <w:spacing w:before="360" w:after="0"/>
        <w:ind w:left="-274" w:right="-450"/>
      </w:pPr>
      <w:r>
        <w:t xml:space="preserve">        </w:t>
      </w:r>
      <w:r w:rsidR="006A6528">
        <w:t>For immediate release</w:t>
      </w:r>
    </w:p>
    <w:p w14:paraId="103B1478" w14:textId="77777777" w:rsidR="00BE2F30" w:rsidRDefault="00BE2F30" w:rsidP="00F90CA0"/>
    <w:p w14:paraId="3A70887B" w14:textId="7264328A" w:rsidR="00EE7D2F" w:rsidRPr="00F41F1F" w:rsidRDefault="00EE7D2F" w:rsidP="00EB68E2">
      <w:pPr>
        <w:spacing w:after="360"/>
        <w:rPr>
          <w:rFonts w:ascii="Calibri" w:hAnsi="Calibri"/>
          <w:b/>
          <w:caps/>
          <w:sz w:val="24"/>
          <w:szCs w:val="24"/>
          <w:vertAlign w:val="subscript"/>
        </w:rPr>
      </w:pPr>
    </w:p>
    <w:p w14:paraId="6E70D199" w14:textId="77777777" w:rsidR="003F5E2A" w:rsidRDefault="003F5E2A" w:rsidP="003F5E2A">
      <w:pPr>
        <w:spacing w:after="0"/>
        <w:jc w:val="center"/>
        <w:rPr>
          <w:rFonts w:ascii="Calibri" w:hAnsi="Calibri"/>
          <w:b/>
          <w:caps/>
          <w:sz w:val="24"/>
          <w:szCs w:val="24"/>
        </w:rPr>
      </w:pPr>
      <w:r w:rsidRPr="00A859B0">
        <w:rPr>
          <w:rFonts w:ascii="Calibri" w:hAnsi="Calibri"/>
          <w:b/>
          <w:i/>
          <w:caps/>
          <w:sz w:val="24"/>
          <w:szCs w:val="24"/>
        </w:rPr>
        <w:t>HEALTH AFFAIRS</w:t>
      </w:r>
      <w:r>
        <w:rPr>
          <w:rFonts w:ascii="Calibri" w:hAnsi="Calibri"/>
          <w:b/>
          <w:caps/>
          <w:sz w:val="24"/>
          <w:szCs w:val="24"/>
        </w:rPr>
        <w:t xml:space="preserve"> GRANTWATCH Documents THE JOHN A. HARTFORD FOUNDATION’s IMPACT on THE GROWTH OF GERIATRICS over 30 years</w:t>
      </w:r>
    </w:p>
    <w:p w14:paraId="7925C068" w14:textId="77777777" w:rsidR="003F5E2A" w:rsidRDefault="003F5E2A" w:rsidP="003F5E2A">
      <w:pPr>
        <w:spacing w:after="0"/>
        <w:rPr>
          <w:rFonts w:ascii="Calibri" w:hAnsi="Calibri"/>
          <w:b/>
          <w:caps/>
          <w:sz w:val="24"/>
          <w:szCs w:val="24"/>
        </w:rPr>
      </w:pPr>
    </w:p>
    <w:p w14:paraId="3853504A" w14:textId="5D51E26B" w:rsidR="003F5E2A" w:rsidRDefault="003F5E2A" w:rsidP="003F5E2A">
      <w:pPr>
        <w:spacing w:after="240"/>
      </w:pPr>
      <w:r w:rsidRPr="00E012DA">
        <w:rPr>
          <w:i/>
        </w:rPr>
        <w:t>New York, NY (January 7, 2019)</w:t>
      </w:r>
      <w:r w:rsidRPr="00E012DA">
        <w:t xml:space="preserve"> – </w:t>
      </w:r>
      <w:r w:rsidRPr="00A859B0">
        <w:rPr>
          <w:i/>
        </w:rPr>
        <w:t>Health Affairs</w:t>
      </w:r>
      <w:r w:rsidRPr="00E012DA">
        <w:t xml:space="preserve"> has </w:t>
      </w:r>
      <w:r>
        <w:t>published</w:t>
      </w:r>
      <w:r w:rsidRPr="00E012DA">
        <w:t xml:space="preserve"> a new</w:t>
      </w:r>
      <w:r>
        <w:t xml:space="preserve"> </w:t>
      </w:r>
      <w:proofErr w:type="spellStart"/>
      <w:r w:rsidRPr="00E012DA">
        <w:t>GrantWatch</w:t>
      </w:r>
      <w:proofErr w:type="spellEnd"/>
      <w:r w:rsidRPr="00E012DA">
        <w:t xml:space="preserve"> </w:t>
      </w:r>
      <w:r>
        <w:t>article</w:t>
      </w:r>
      <w:r w:rsidRPr="00E012DA">
        <w:t xml:space="preserve"> today</w:t>
      </w:r>
      <w:r>
        <w:t xml:space="preserve"> in its January issue</w:t>
      </w:r>
      <w:r w:rsidRPr="00E012DA">
        <w:t>, “</w:t>
      </w:r>
      <w:hyperlink r:id="rId8" w:history="1">
        <w:r w:rsidRPr="00E322D5">
          <w:rPr>
            <w:rStyle w:val="Hyperlink"/>
          </w:rPr>
          <w:t>The John A. Hartford Foundation and The Growth of Geriatrics</w:t>
        </w:r>
      </w:hyperlink>
      <w:r w:rsidRPr="00E012DA">
        <w:t xml:space="preserve">,” </w:t>
      </w:r>
      <w:r>
        <w:t xml:space="preserve">by </w:t>
      </w:r>
      <w:r w:rsidRPr="00E012DA">
        <w:t xml:space="preserve">Stephen Isaacs, JD, and Paul S. </w:t>
      </w:r>
      <w:proofErr w:type="spellStart"/>
      <w:r w:rsidRPr="00E012DA">
        <w:t>Jellinek</w:t>
      </w:r>
      <w:proofErr w:type="spellEnd"/>
      <w:r w:rsidRPr="00E012DA">
        <w:t>, PhD, both founders and partners at Isaacs/</w:t>
      </w:r>
      <w:proofErr w:type="spellStart"/>
      <w:r w:rsidRPr="00E012DA">
        <w:t>Jellinek</w:t>
      </w:r>
      <w:proofErr w:type="spellEnd"/>
      <w:r w:rsidRPr="00E012DA">
        <w:t xml:space="preserve">, and Terry Fulmer, PhD, RN, FAAN, President of The John A. Hartford Foundation. The </w:t>
      </w:r>
      <w:hyperlink r:id="rId9" w:history="1">
        <w:r w:rsidRPr="00E322D5">
          <w:rPr>
            <w:rStyle w:val="Hyperlink"/>
          </w:rPr>
          <w:t>paper</w:t>
        </w:r>
      </w:hyperlink>
      <w:r w:rsidRPr="00E012DA">
        <w:t xml:space="preserve"> </w:t>
      </w:r>
      <w:r>
        <w:t>evaluates</w:t>
      </w:r>
      <w:r w:rsidRPr="00E012DA">
        <w:t xml:space="preserve"> the impact of The John A. Hartford Foundation’s past thirty-plus years of grant making in aging and health, totaling an investment of nearly a half-billion dollars. </w:t>
      </w:r>
    </w:p>
    <w:p w14:paraId="6F3C001F" w14:textId="66926595" w:rsidR="003F5E2A" w:rsidRDefault="003F5E2A" w:rsidP="003F5E2A">
      <w:r>
        <w:t xml:space="preserve">The </w:t>
      </w:r>
      <w:hyperlink r:id="rId10" w:history="1">
        <w:r w:rsidRPr="00E322D5">
          <w:rPr>
            <w:rStyle w:val="Hyperlink"/>
          </w:rPr>
          <w:t>evaluation</w:t>
        </w:r>
      </w:hyperlink>
      <w:r>
        <w:t>, conducted by Isaacs/</w:t>
      </w:r>
      <w:proofErr w:type="spellStart"/>
      <w:r>
        <w:t>Jellinek</w:t>
      </w:r>
      <w:proofErr w:type="spellEnd"/>
      <w:r>
        <w:t>, a consulting company that works with foundations, found that The John A. Hartford Foundation has improved the care of older adults in the United States by:</w:t>
      </w:r>
    </w:p>
    <w:p w14:paraId="6BDD8BE9" w14:textId="77777777" w:rsidR="003F5E2A" w:rsidRPr="00E012DA" w:rsidRDefault="003F5E2A" w:rsidP="003F5E2A">
      <w:pPr>
        <w:pStyle w:val="ListParagraph"/>
        <w:numPr>
          <w:ilvl w:val="0"/>
          <w:numId w:val="1"/>
        </w:numPr>
        <w:spacing w:after="0"/>
      </w:pPr>
      <w:r>
        <w:t>Playing an instrumental role in creating the field of geriatrics, a</w:t>
      </w:r>
      <w:r w:rsidRPr="00E012DA">
        <w:t xml:space="preserve"> new field in American health care, </w:t>
      </w:r>
      <w:r>
        <w:t>“</w:t>
      </w:r>
      <w:r w:rsidRPr="00E012DA">
        <w:t>essentially from scratch</w:t>
      </w:r>
      <w:r>
        <w:t>”</w:t>
      </w:r>
    </w:p>
    <w:p w14:paraId="2D4D6427" w14:textId="77777777" w:rsidR="003F5E2A" w:rsidRPr="00E012DA" w:rsidRDefault="003F5E2A" w:rsidP="003F5E2A">
      <w:pPr>
        <w:pStyle w:val="ListParagraph"/>
        <w:numPr>
          <w:ilvl w:val="0"/>
          <w:numId w:val="1"/>
        </w:numPr>
        <w:spacing w:after="0"/>
      </w:pPr>
      <w:r>
        <w:t>Working to ensure</w:t>
      </w:r>
      <w:r w:rsidRPr="00E012DA">
        <w:t xml:space="preserve"> that </w:t>
      </w:r>
      <w:r>
        <w:t>“</w:t>
      </w:r>
      <w:r w:rsidRPr="00E012DA">
        <w:t>all of the nation’s practicing physicians, nurses, and social workers who provided care to older adults received at least some geriatrics training during their professional education”</w:t>
      </w:r>
    </w:p>
    <w:p w14:paraId="0D080569" w14:textId="77777777" w:rsidR="003F5E2A" w:rsidRPr="00E012DA" w:rsidRDefault="003F5E2A" w:rsidP="003F5E2A">
      <w:pPr>
        <w:pStyle w:val="ListParagraph"/>
        <w:numPr>
          <w:ilvl w:val="0"/>
          <w:numId w:val="1"/>
        </w:numPr>
      </w:pPr>
      <w:r>
        <w:t>Supporting p</w:t>
      </w:r>
      <w:r w:rsidRPr="00B47C1B">
        <w:t>alliative care</w:t>
      </w:r>
      <w:r>
        <w:t xml:space="preserve"> – which has now</w:t>
      </w:r>
      <w:r w:rsidRPr="00B47C1B">
        <w:t xml:space="preserve"> </w:t>
      </w:r>
      <w:r>
        <w:t xml:space="preserve">been </w:t>
      </w:r>
      <w:r w:rsidRPr="00B47C1B">
        <w:t>widely adopted</w:t>
      </w:r>
      <w:r>
        <w:t xml:space="preserve"> by</w:t>
      </w:r>
      <w:r w:rsidRPr="00E012DA">
        <w:t xml:space="preserve"> the </w:t>
      </w:r>
      <w:r>
        <w:t xml:space="preserve">U.S. </w:t>
      </w:r>
      <w:r w:rsidRPr="00E012DA">
        <w:t>health care system</w:t>
      </w:r>
      <w:r>
        <w:t xml:space="preserve"> – for many years</w:t>
      </w:r>
    </w:p>
    <w:p w14:paraId="07C44D70" w14:textId="77777777" w:rsidR="003F5E2A" w:rsidRDefault="003F5E2A" w:rsidP="003F5E2A">
      <w:pPr>
        <w:pStyle w:val="ListParagraph"/>
        <w:numPr>
          <w:ilvl w:val="0"/>
          <w:numId w:val="1"/>
        </w:numPr>
        <w:spacing w:after="0"/>
      </w:pPr>
      <w:r>
        <w:t xml:space="preserve">Helping to </w:t>
      </w:r>
      <w:r w:rsidRPr="00E012DA">
        <w:t>reduce the stigma of caring for older people</w:t>
      </w:r>
    </w:p>
    <w:p w14:paraId="10DB6F52" w14:textId="77777777" w:rsidR="003F5E2A" w:rsidRDefault="003F5E2A" w:rsidP="003F5E2A">
      <w:pPr>
        <w:pStyle w:val="ListParagraph"/>
        <w:spacing w:after="0"/>
        <w:ind w:left="1440"/>
      </w:pPr>
    </w:p>
    <w:p w14:paraId="4D4A6804" w14:textId="77777777" w:rsidR="003F5E2A" w:rsidRDefault="003F5E2A" w:rsidP="003F5E2A">
      <w:pPr>
        <w:spacing w:after="240"/>
        <w:rPr>
          <w:rFonts w:cstheme="minorHAnsi"/>
          <w:color w:val="538135" w:themeColor="accent6" w:themeShade="BF"/>
          <w:sz w:val="26"/>
          <w:szCs w:val="26"/>
        </w:rPr>
      </w:pPr>
      <w:r>
        <w:t>“This assessment confirms what we’ve long believed - that The John A. Hartford Foundation is making a meaningful difference in the care of older adults through strategic, long-term collaboration with a diverse array of partners, evidence-based learnings, and a proven track record of results,” said The John A. Hartford Foundation President Terry Fulmer</w:t>
      </w:r>
      <w:r>
        <w:rPr>
          <w:rFonts w:cstheme="minorHAnsi"/>
          <w:color w:val="538135" w:themeColor="accent6" w:themeShade="BF"/>
          <w:sz w:val="26"/>
          <w:szCs w:val="26"/>
        </w:rPr>
        <w:t xml:space="preserve">. </w:t>
      </w:r>
    </w:p>
    <w:p w14:paraId="3A854961" w14:textId="77777777" w:rsidR="003F5E2A" w:rsidRPr="00E012DA" w:rsidRDefault="003F5E2A" w:rsidP="003F5E2A">
      <w:pPr>
        <w:spacing w:after="240"/>
      </w:pPr>
      <w:r>
        <w:t>The evaluation was conducted</w:t>
      </w:r>
      <w:r w:rsidRPr="00E012DA">
        <w:t xml:space="preserve"> </w:t>
      </w:r>
      <w:r>
        <w:t>through</w:t>
      </w:r>
      <w:r w:rsidRPr="00E012DA">
        <w:t xml:space="preserve"> a quantitative assessment of the output and impact</w:t>
      </w:r>
      <w:r>
        <w:t xml:space="preserve"> of the Foundation; a</w:t>
      </w:r>
      <w:r w:rsidRPr="00E012DA">
        <w:t xml:space="preserve"> qualitative assessment of </w:t>
      </w:r>
      <w:r>
        <w:t>its</w:t>
      </w:r>
      <w:r w:rsidRPr="00E012DA">
        <w:t xml:space="preserve"> cumulative impact</w:t>
      </w:r>
      <w:r>
        <w:t xml:space="preserve">; </w:t>
      </w:r>
      <w:r w:rsidRPr="00E012DA">
        <w:t>and a combined quantitative-qualitative assessment</w:t>
      </w:r>
      <w:r>
        <w:t xml:space="preserve">, </w:t>
      </w:r>
      <w:r w:rsidRPr="00E012DA">
        <w:t>through trends data and interviews with experts</w:t>
      </w:r>
      <w:r>
        <w:t>,</w:t>
      </w:r>
      <w:r w:rsidRPr="00E012DA">
        <w:t xml:space="preserve"> of the extent to which health care for older adults has improved and how much the </w:t>
      </w:r>
      <w:r>
        <w:t>F</w:t>
      </w:r>
      <w:r w:rsidRPr="00E012DA">
        <w:t xml:space="preserve">oundation has contributed to this.  </w:t>
      </w:r>
    </w:p>
    <w:p w14:paraId="265CE59B" w14:textId="77777777" w:rsidR="003F5E2A" w:rsidRPr="00E012DA" w:rsidRDefault="003F5E2A" w:rsidP="003F5E2A">
      <w:pPr>
        <w:spacing w:after="240"/>
      </w:pPr>
      <w:r w:rsidRPr="00E012DA">
        <w:t xml:space="preserve">Over the past thirty years, </w:t>
      </w:r>
      <w:r>
        <w:t>The John A. Hartford Foundation</w:t>
      </w:r>
      <w:r w:rsidRPr="00E012DA">
        <w:t xml:space="preserve"> has </w:t>
      </w:r>
      <w:r>
        <w:t>helped increase the number of</w:t>
      </w:r>
      <w:r w:rsidRPr="00E012DA">
        <w:t xml:space="preserve"> geriatric physicians, nurses, and social workers, has tested models of care, and continues work to improve the care of older adults. The article details the </w:t>
      </w:r>
      <w:r>
        <w:t>F</w:t>
      </w:r>
      <w:r w:rsidRPr="00E012DA">
        <w:t xml:space="preserve">oundation’s support </w:t>
      </w:r>
      <w:r>
        <w:t xml:space="preserve">for geriatrics training programs </w:t>
      </w:r>
      <w:r w:rsidRPr="00E012DA">
        <w:t>and the development of geriatrics as a field, and outlines care models that have been funded (including community-based care team care, transition</w:t>
      </w:r>
      <w:r>
        <w:t>al care programs</w:t>
      </w:r>
      <w:r w:rsidRPr="00E012DA">
        <w:t xml:space="preserve"> </w:t>
      </w:r>
      <w:r>
        <w:t>for hospitalized older adults</w:t>
      </w:r>
      <w:r w:rsidRPr="00E012DA">
        <w:t xml:space="preserve">, </w:t>
      </w:r>
      <w:r>
        <w:t>home-based primary and acute</w:t>
      </w:r>
      <w:r w:rsidRPr="00E012DA">
        <w:t xml:space="preserve"> care, depression treatment, palliative care, and medication management)</w:t>
      </w:r>
      <w:r>
        <w:t>.</w:t>
      </w:r>
      <w:r w:rsidRPr="00E012DA">
        <w:t xml:space="preserve"> Impacts</w:t>
      </w:r>
      <w:r>
        <w:t xml:space="preserve"> </w:t>
      </w:r>
      <w:r w:rsidRPr="00E012DA">
        <w:lastRenderedPageBreak/>
        <w:t xml:space="preserve">are noted including </w:t>
      </w:r>
      <w:r>
        <w:t>the incorporation of aging in curricula, accreditation and board certification requirements. For instance</w:t>
      </w:r>
      <w:r w:rsidRPr="00E012DA">
        <w:t xml:space="preserve">, 90% of bachelor’s-level nursing </w:t>
      </w:r>
      <w:r>
        <w:t xml:space="preserve">school </w:t>
      </w:r>
      <w:r w:rsidRPr="00E012DA">
        <w:t xml:space="preserve">programs </w:t>
      </w:r>
      <w:r>
        <w:t xml:space="preserve">now </w:t>
      </w:r>
      <w:r w:rsidRPr="00E012DA">
        <w:t>integrate geriatrics into at least one required course, up from one in five in the late 1970s</w:t>
      </w:r>
      <w:r>
        <w:t>. In addition, the paper emphasizes changes to g</w:t>
      </w:r>
      <w:r w:rsidRPr="00E012DA">
        <w:t xml:space="preserve">eriatrics policy and leadership, </w:t>
      </w:r>
      <w:r>
        <w:t>through</w:t>
      </w:r>
      <w:r w:rsidRPr="00E012DA">
        <w:t xml:space="preserve"> </w:t>
      </w:r>
      <w:r>
        <w:t xml:space="preserve">supporting </w:t>
      </w:r>
      <w:r w:rsidRPr="00E012DA">
        <w:t>influential reports by the Institute of Medicine. Collaborations with other funders, partners and aging-focused organizations and their vital roles in all this work are highlighted.</w:t>
      </w:r>
    </w:p>
    <w:p w14:paraId="54E13D34" w14:textId="77777777" w:rsidR="003F5E2A" w:rsidRDefault="003F5E2A" w:rsidP="003F5E2A">
      <w:pPr>
        <w:spacing w:after="240"/>
      </w:pPr>
      <w:r w:rsidRPr="00E012DA">
        <w:t xml:space="preserve">The paper </w:t>
      </w:r>
      <w:r>
        <w:t>underscores</w:t>
      </w:r>
      <w:r w:rsidRPr="00E012DA">
        <w:t xml:space="preserve"> that the </w:t>
      </w:r>
      <w:r>
        <w:t>F</w:t>
      </w:r>
      <w:r w:rsidRPr="00E012DA">
        <w:t xml:space="preserve">oundation chose to focus on </w:t>
      </w:r>
      <w:r>
        <w:t>geriatrics</w:t>
      </w:r>
      <w:r w:rsidRPr="00E012DA">
        <w:t xml:space="preserve"> at a time when few others were paying attention, and stresses the long-term, steadfast commitment of the </w:t>
      </w:r>
      <w:r>
        <w:t>F</w:t>
      </w:r>
      <w:r w:rsidRPr="00E012DA">
        <w:t xml:space="preserve">oundation to addressing “one of the most urgent challenges facing modern society: the aging of the population. Many of the leaders interviewed for this evaluation commented on—and marveled at—the </w:t>
      </w:r>
      <w:r>
        <w:t>F</w:t>
      </w:r>
      <w:r w:rsidRPr="00E012DA">
        <w:t xml:space="preserve">oundation’s sustained focus.” The </w:t>
      </w:r>
      <w:r>
        <w:t>F</w:t>
      </w:r>
      <w:r w:rsidRPr="00E012DA">
        <w:t xml:space="preserve">oundation has developed and implemented a carefully reasoned strategy of mutually reinforcing programs and activities; monitored </w:t>
      </w:r>
      <w:r>
        <w:t>and</w:t>
      </w:r>
      <w:r w:rsidRPr="00E012DA">
        <w:t xml:space="preserve"> learned from its experiences and modified its approach as needed; and actively sought funding partners.</w:t>
      </w:r>
      <w:r>
        <w:t xml:space="preserve"> Geriatrics, the article says, is “now a recognized medical, nursing, and social work specialty.”</w:t>
      </w:r>
    </w:p>
    <w:p w14:paraId="5FF5E22F" w14:textId="77777777" w:rsidR="003F5E2A" w:rsidRPr="00DB2F5F" w:rsidRDefault="003F5E2A" w:rsidP="003F5E2A">
      <w:pPr>
        <w:pStyle w:val="NormalWeb"/>
        <w:spacing w:line="259" w:lineRule="auto"/>
        <w:rPr>
          <w:rFonts w:cstheme="minorHAnsi"/>
        </w:rPr>
      </w:pPr>
      <w:r w:rsidRPr="009F73B5">
        <w:rPr>
          <w:rFonts w:asciiTheme="minorHAnsi" w:hAnsiTheme="minorHAnsi" w:cstheme="minorHAnsi"/>
          <w:sz w:val="22"/>
          <w:szCs w:val="22"/>
        </w:rPr>
        <w:t>The John A. Hartford Foundation was established in 1929 by John and George Hartford, the founders of the Great Atlantic &amp; Pacific Tea Company (also known as the A&amp;P grocery stores)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F73B5">
        <w:rPr>
          <w:rFonts w:asciiTheme="minorHAnsi" w:hAnsiTheme="minorHAnsi" w:cstheme="minorHAnsi"/>
          <w:sz w:val="22"/>
          <w:szCs w:val="22"/>
        </w:rPr>
        <w:t xml:space="preserve"> In 1983, the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9F73B5">
        <w:rPr>
          <w:rFonts w:asciiTheme="minorHAnsi" w:hAnsiTheme="minorHAnsi" w:cstheme="minorHAnsi"/>
          <w:sz w:val="22"/>
          <w:szCs w:val="22"/>
        </w:rPr>
        <w:t xml:space="preserve">oundation elevated geriatrics as one of its two priority areas, and in 1994, the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9F73B5">
        <w:rPr>
          <w:rFonts w:asciiTheme="minorHAnsi" w:hAnsiTheme="minorHAnsi" w:cstheme="minorHAnsi"/>
          <w:sz w:val="22"/>
          <w:szCs w:val="22"/>
        </w:rPr>
        <w:t>oundation identified improving the care of older adults as its sole priority, focusing on geriatrics at a time when there was little funding for this area.</w:t>
      </w:r>
    </w:p>
    <w:p w14:paraId="76F30D4C" w14:textId="0D5A9984" w:rsidR="003F5E2A" w:rsidRPr="00E012DA" w:rsidRDefault="003F5E2A" w:rsidP="003F5E2A">
      <w:pPr>
        <w:spacing w:after="240"/>
      </w:pPr>
      <w:r w:rsidRPr="00A859B0">
        <w:rPr>
          <w:i/>
        </w:rPr>
        <w:t>Health Affairs</w:t>
      </w:r>
      <w:r>
        <w:t xml:space="preserve"> </w:t>
      </w:r>
      <w:proofErr w:type="spellStart"/>
      <w:r>
        <w:t>GrantWatch</w:t>
      </w:r>
      <w:proofErr w:type="spellEnd"/>
      <w:r>
        <w:t xml:space="preserve"> article link: “</w:t>
      </w:r>
      <w:hyperlink r:id="rId11" w:history="1">
        <w:r w:rsidRPr="00E322D5">
          <w:rPr>
            <w:rStyle w:val="Hyperlink"/>
          </w:rPr>
          <w:t>The John A. Hartford Foundation and The Growth of Geriatrics</w:t>
        </w:r>
      </w:hyperlink>
      <w:bookmarkStart w:id="0" w:name="_GoBack"/>
      <w:bookmarkEnd w:id="0"/>
      <w:r>
        <w:t xml:space="preserve">” </w:t>
      </w:r>
      <w:r>
        <w:br/>
        <w:t>Isaacs/</w:t>
      </w:r>
      <w:proofErr w:type="spellStart"/>
      <w:r>
        <w:t>Jellinek</w:t>
      </w:r>
      <w:proofErr w:type="spellEnd"/>
      <w:r>
        <w:t xml:space="preserve"> evaluation report link: “</w:t>
      </w:r>
      <w:hyperlink r:id="rId12" w:history="1">
        <w:r w:rsidRPr="00E322D5">
          <w:rPr>
            <w:rStyle w:val="Hyperlink"/>
          </w:rPr>
          <w:t>Assessment of the Accomplishments and Impact of The John A. Hartford Foundation’s Grantmaking in Aging and Health, 1983-2015</w:t>
        </w:r>
      </w:hyperlink>
      <w:r>
        <w:t>”</w:t>
      </w:r>
    </w:p>
    <w:p w14:paraId="65520FD9" w14:textId="77777777" w:rsidR="003F5E2A" w:rsidRPr="008D503E" w:rsidRDefault="003F5E2A" w:rsidP="003F5E2A">
      <w:pPr>
        <w:jc w:val="center"/>
        <w:rPr>
          <w:sz w:val="24"/>
          <w:szCs w:val="24"/>
        </w:rPr>
      </w:pPr>
      <w:r w:rsidRPr="008D503E">
        <w:rPr>
          <w:sz w:val="24"/>
          <w:szCs w:val="24"/>
        </w:rPr>
        <w:t>*********</w:t>
      </w:r>
    </w:p>
    <w:p w14:paraId="1836DFC3" w14:textId="77777777" w:rsidR="003F5E2A" w:rsidRDefault="003F5E2A" w:rsidP="003F5E2A">
      <w:pPr>
        <w:rPr>
          <w:b/>
        </w:rPr>
      </w:pPr>
    </w:p>
    <w:p w14:paraId="0C32ECD9" w14:textId="77777777" w:rsidR="003F5E2A" w:rsidRPr="001B2A0B" w:rsidRDefault="003F5E2A" w:rsidP="003F5E2A">
      <w:pPr>
        <w:rPr>
          <w:bCs/>
        </w:rPr>
      </w:pPr>
      <w:r w:rsidRPr="001B2A0B">
        <w:rPr>
          <w:b/>
        </w:rPr>
        <w:t xml:space="preserve">About </w:t>
      </w:r>
      <w:proofErr w:type="gramStart"/>
      <w:r w:rsidRPr="001B2A0B">
        <w:rPr>
          <w:b/>
        </w:rPr>
        <w:t>The</w:t>
      </w:r>
      <w:proofErr w:type="gramEnd"/>
      <w:r w:rsidRPr="001B2A0B">
        <w:rPr>
          <w:b/>
        </w:rPr>
        <w:t xml:space="preserve"> John A. Hartford Foundation</w:t>
      </w:r>
    </w:p>
    <w:p w14:paraId="18B4EC5E" w14:textId="77777777" w:rsidR="003F5E2A" w:rsidRPr="001B2A0B" w:rsidRDefault="003F5E2A" w:rsidP="003F5E2A">
      <w:pPr>
        <w:rPr>
          <w:bCs/>
        </w:rPr>
      </w:pPr>
      <w:r w:rsidRPr="001B2A0B">
        <w:rPr>
          <w:bCs/>
          <w:iCs/>
        </w:rPr>
        <w:t xml:space="preserve">The John A. Hartford Foundation, based in New York City, is a private, nonpartisan, national philanthropy dedicated to improving the care of older adults. The leader in the field of aging and health, the Foundation has three priority areas: creating age-friendly health systems, supporting family caregivers, and improving serious illness and end-of-life care. </w:t>
      </w:r>
      <w:r w:rsidRPr="001B2A0B">
        <w:rPr>
          <w:bCs/>
        </w:rPr>
        <w:t xml:space="preserve">For more information, visit </w:t>
      </w:r>
      <w:hyperlink r:id="rId13" w:history="1">
        <w:r w:rsidRPr="001B2A0B">
          <w:rPr>
            <w:rStyle w:val="Hyperlink"/>
            <w:bCs/>
          </w:rPr>
          <w:t>johnahartford.org</w:t>
        </w:r>
      </w:hyperlink>
      <w:r w:rsidRPr="001B2A0B">
        <w:rPr>
          <w:bCs/>
        </w:rPr>
        <w:t xml:space="preserve"> and follow </w:t>
      </w:r>
      <w:hyperlink r:id="rId14" w:history="1">
        <w:r w:rsidRPr="001B2A0B">
          <w:rPr>
            <w:rStyle w:val="Hyperlink"/>
            <w:bCs/>
          </w:rPr>
          <w:t>@</w:t>
        </w:r>
        <w:proofErr w:type="spellStart"/>
        <w:r w:rsidRPr="001B2A0B">
          <w:rPr>
            <w:rStyle w:val="Hyperlink"/>
            <w:bCs/>
          </w:rPr>
          <w:t>johnahartford</w:t>
        </w:r>
        <w:proofErr w:type="spellEnd"/>
      </w:hyperlink>
      <w:r w:rsidRPr="001B2A0B">
        <w:rPr>
          <w:bCs/>
        </w:rPr>
        <w:t>.</w:t>
      </w:r>
    </w:p>
    <w:p w14:paraId="6FDC9A14" w14:textId="77777777" w:rsidR="003F5E2A" w:rsidRPr="001B2A0B" w:rsidRDefault="003F5E2A" w:rsidP="003F5E2A">
      <w:pPr>
        <w:rPr>
          <w:bCs/>
          <w:lang w:val="en"/>
        </w:rPr>
      </w:pPr>
    </w:p>
    <w:p w14:paraId="7D0FD97D" w14:textId="77777777" w:rsidR="003F5E2A" w:rsidRPr="001B2A0B" w:rsidRDefault="003F5E2A" w:rsidP="003F5E2A">
      <w:pPr>
        <w:rPr>
          <w:b/>
        </w:rPr>
      </w:pPr>
      <w:r w:rsidRPr="001B2A0B">
        <w:rPr>
          <w:b/>
        </w:rPr>
        <w:t>Media contact:</w:t>
      </w:r>
    </w:p>
    <w:p w14:paraId="641783B9" w14:textId="77777777" w:rsidR="003F5E2A" w:rsidRDefault="003F5E2A" w:rsidP="003F5E2A">
      <w:pPr>
        <w:spacing w:after="0"/>
      </w:pPr>
      <w:r>
        <w:t>Marcus Escobedo, Sr. Program Officer &amp; Communications Director</w:t>
      </w:r>
    </w:p>
    <w:p w14:paraId="75253F06" w14:textId="77777777" w:rsidR="003F5E2A" w:rsidRDefault="003F5E2A" w:rsidP="003F5E2A">
      <w:pPr>
        <w:spacing w:after="0"/>
      </w:pPr>
      <w:r>
        <w:t xml:space="preserve">212-832-7788; </w:t>
      </w:r>
      <w:hyperlink r:id="rId15" w:history="1">
        <w:r w:rsidRPr="00666641">
          <w:rPr>
            <w:rStyle w:val="Hyperlink"/>
          </w:rPr>
          <w:t>marcus.escobedo@johnahartford.org</w:t>
        </w:r>
      </w:hyperlink>
    </w:p>
    <w:p w14:paraId="30EFBBD2" w14:textId="77777777" w:rsidR="003F5E2A" w:rsidRPr="001B2A0B" w:rsidRDefault="003F5E2A" w:rsidP="003F5E2A">
      <w:pPr>
        <w:spacing w:after="0"/>
      </w:pPr>
    </w:p>
    <w:p w14:paraId="26568632" w14:textId="77777777" w:rsidR="006A6528" w:rsidRPr="001B2A0B" w:rsidRDefault="006A6528" w:rsidP="006A6528">
      <w:pPr>
        <w:spacing w:after="0"/>
      </w:pPr>
    </w:p>
    <w:sectPr w:rsidR="006A6528" w:rsidRPr="001B2A0B" w:rsidSect="000B612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918A6" w14:textId="77777777" w:rsidR="00A274BD" w:rsidRDefault="00A274BD" w:rsidP="00007A91">
      <w:pPr>
        <w:spacing w:after="0" w:line="240" w:lineRule="auto"/>
      </w:pPr>
      <w:r>
        <w:separator/>
      </w:r>
    </w:p>
  </w:endnote>
  <w:endnote w:type="continuationSeparator" w:id="0">
    <w:p w14:paraId="6C6DAD3F" w14:textId="77777777" w:rsidR="00A274BD" w:rsidRDefault="00A274BD" w:rsidP="0000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2B746" w14:textId="77777777" w:rsidR="00B2704A" w:rsidRDefault="00B27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63845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19DA86B" w14:textId="77777777" w:rsidR="00A274BD" w:rsidRPr="001E11BF" w:rsidRDefault="00A274BD">
        <w:pPr>
          <w:pStyle w:val="Footer"/>
          <w:jc w:val="right"/>
          <w:rPr>
            <w:sz w:val="20"/>
            <w:szCs w:val="20"/>
          </w:rPr>
        </w:pPr>
        <w:r w:rsidRPr="001E11BF">
          <w:rPr>
            <w:sz w:val="20"/>
            <w:szCs w:val="20"/>
          </w:rPr>
          <w:fldChar w:fldCharType="begin"/>
        </w:r>
        <w:r w:rsidRPr="001E11BF">
          <w:rPr>
            <w:sz w:val="20"/>
            <w:szCs w:val="20"/>
          </w:rPr>
          <w:instrText xml:space="preserve"> PAGE   \* MERGEFORMAT </w:instrText>
        </w:r>
        <w:r w:rsidRPr="001E11BF">
          <w:rPr>
            <w:sz w:val="20"/>
            <w:szCs w:val="20"/>
          </w:rPr>
          <w:fldChar w:fldCharType="separate"/>
        </w:r>
        <w:r w:rsidR="00141F68">
          <w:rPr>
            <w:noProof/>
            <w:sz w:val="20"/>
            <w:szCs w:val="20"/>
          </w:rPr>
          <w:t>2</w:t>
        </w:r>
        <w:r w:rsidRPr="001E11BF">
          <w:rPr>
            <w:noProof/>
            <w:sz w:val="20"/>
            <w:szCs w:val="20"/>
          </w:rPr>
          <w:fldChar w:fldCharType="end"/>
        </w:r>
      </w:p>
    </w:sdtContent>
  </w:sdt>
  <w:p w14:paraId="7853041C" w14:textId="77777777" w:rsidR="00A274BD" w:rsidRDefault="00A274BD">
    <w:pPr>
      <w:pStyle w:val="Footer"/>
    </w:pPr>
  </w:p>
  <w:p w14:paraId="23D18DF3" w14:textId="77777777" w:rsidR="00A274BD" w:rsidRDefault="00A274BD" w:rsidP="00EE19F5">
    <w:pPr>
      <w:pStyle w:val="Footer"/>
      <w:spacing w:line="18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648AD" w14:textId="77777777" w:rsidR="00B2704A" w:rsidRDefault="00B27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46AD2" w14:textId="77777777" w:rsidR="00A274BD" w:rsidRDefault="00A274BD" w:rsidP="00007A91">
      <w:pPr>
        <w:spacing w:after="0" w:line="240" w:lineRule="auto"/>
      </w:pPr>
      <w:r>
        <w:separator/>
      </w:r>
    </w:p>
  </w:footnote>
  <w:footnote w:type="continuationSeparator" w:id="0">
    <w:p w14:paraId="5102A89F" w14:textId="77777777" w:rsidR="00A274BD" w:rsidRDefault="00A274BD" w:rsidP="0000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707ED" w14:textId="77777777" w:rsidR="00B2704A" w:rsidRDefault="00B27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B181" w14:textId="41DFB91B" w:rsidR="00B2704A" w:rsidRDefault="00B27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6C88" w14:textId="77777777" w:rsidR="00B2704A" w:rsidRDefault="00B27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409"/>
    <w:multiLevelType w:val="hybridMultilevel"/>
    <w:tmpl w:val="FDD81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35-4286-8857, v. 3"/>
    <w:docVar w:name="ndGeneratedStampLocation" w:val="EachPage"/>
  </w:docVars>
  <w:rsids>
    <w:rsidRoot w:val="00AC72E5"/>
    <w:rsid w:val="00004B6D"/>
    <w:rsid w:val="00006E18"/>
    <w:rsid w:val="00007A91"/>
    <w:rsid w:val="00020F33"/>
    <w:rsid w:val="000268B8"/>
    <w:rsid w:val="00036287"/>
    <w:rsid w:val="00037E3B"/>
    <w:rsid w:val="00042E03"/>
    <w:rsid w:val="0005025B"/>
    <w:rsid w:val="000608E4"/>
    <w:rsid w:val="00073CCF"/>
    <w:rsid w:val="00084EAB"/>
    <w:rsid w:val="000B6120"/>
    <w:rsid w:val="000D1557"/>
    <w:rsid w:val="000D2B51"/>
    <w:rsid w:val="000E0099"/>
    <w:rsid w:val="000F0770"/>
    <w:rsid w:val="0010322D"/>
    <w:rsid w:val="00120F5B"/>
    <w:rsid w:val="00141F68"/>
    <w:rsid w:val="00147820"/>
    <w:rsid w:val="001578E2"/>
    <w:rsid w:val="00160E37"/>
    <w:rsid w:val="00165CAE"/>
    <w:rsid w:val="001724E5"/>
    <w:rsid w:val="00180D2E"/>
    <w:rsid w:val="001A0430"/>
    <w:rsid w:val="001B2A0B"/>
    <w:rsid w:val="001C0DF4"/>
    <w:rsid w:val="001D0B84"/>
    <w:rsid w:val="001E11BF"/>
    <w:rsid w:val="001E44C5"/>
    <w:rsid w:val="001E5B69"/>
    <w:rsid w:val="001F0752"/>
    <w:rsid w:val="001F1FCF"/>
    <w:rsid w:val="002451E2"/>
    <w:rsid w:val="002807E9"/>
    <w:rsid w:val="002C239E"/>
    <w:rsid w:val="002C351D"/>
    <w:rsid w:val="002D2620"/>
    <w:rsid w:val="002E0B97"/>
    <w:rsid w:val="002F5502"/>
    <w:rsid w:val="0033056F"/>
    <w:rsid w:val="00371D54"/>
    <w:rsid w:val="00373A7B"/>
    <w:rsid w:val="003921C2"/>
    <w:rsid w:val="003934FF"/>
    <w:rsid w:val="003C276D"/>
    <w:rsid w:val="003C6C2F"/>
    <w:rsid w:val="003D0445"/>
    <w:rsid w:val="003F5E2A"/>
    <w:rsid w:val="0040622D"/>
    <w:rsid w:val="00412376"/>
    <w:rsid w:val="00420155"/>
    <w:rsid w:val="00447579"/>
    <w:rsid w:val="0044786C"/>
    <w:rsid w:val="00455A85"/>
    <w:rsid w:val="00462AB0"/>
    <w:rsid w:val="004668E4"/>
    <w:rsid w:val="00485670"/>
    <w:rsid w:val="00490D5E"/>
    <w:rsid w:val="004A1E7E"/>
    <w:rsid w:val="004A2450"/>
    <w:rsid w:val="004B0A21"/>
    <w:rsid w:val="004D4244"/>
    <w:rsid w:val="004F3085"/>
    <w:rsid w:val="00533D52"/>
    <w:rsid w:val="005400B6"/>
    <w:rsid w:val="0054645A"/>
    <w:rsid w:val="00550AE7"/>
    <w:rsid w:val="00581C21"/>
    <w:rsid w:val="005A3440"/>
    <w:rsid w:val="005A719C"/>
    <w:rsid w:val="005B14E1"/>
    <w:rsid w:val="005E58EB"/>
    <w:rsid w:val="005E6EA3"/>
    <w:rsid w:val="005E779E"/>
    <w:rsid w:val="00603BAA"/>
    <w:rsid w:val="00606F07"/>
    <w:rsid w:val="00613F0E"/>
    <w:rsid w:val="006151B9"/>
    <w:rsid w:val="00631364"/>
    <w:rsid w:val="00635294"/>
    <w:rsid w:val="006376E1"/>
    <w:rsid w:val="00644F27"/>
    <w:rsid w:val="00653A4E"/>
    <w:rsid w:val="00672782"/>
    <w:rsid w:val="00674304"/>
    <w:rsid w:val="00692DCB"/>
    <w:rsid w:val="00695981"/>
    <w:rsid w:val="006A4062"/>
    <w:rsid w:val="006A6528"/>
    <w:rsid w:val="006B1CF0"/>
    <w:rsid w:val="006C0AA6"/>
    <w:rsid w:val="006C1C16"/>
    <w:rsid w:val="006C244F"/>
    <w:rsid w:val="007132C4"/>
    <w:rsid w:val="00752A73"/>
    <w:rsid w:val="00767238"/>
    <w:rsid w:val="007A0CAC"/>
    <w:rsid w:val="007A2C5D"/>
    <w:rsid w:val="007B35E1"/>
    <w:rsid w:val="007B59DA"/>
    <w:rsid w:val="007B6474"/>
    <w:rsid w:val="007D7FE7"/>
    <w:rsid w:val="007F04F4"/>
    <w:rsid w:val="00800005"/>
    <w:rsid w:val="008213F3"/>
    <w:rsid w:val="00830B46"/>
    <w:rsid w:val="00833367"/>
    <w:rsid w:val="00844B5E"/>
    <w:rsid w:val="008C5A19"/>
    <w:rsid w:val="008C7693"/>
    <w:rsid w:val="008D503E"/>
    <w:rsid w:val="008F18FD"/>
    <w:rsid w:val="008F2125"/>
    <w:rsid w:val="008F55DA"/>
    <w:rsid w:val="008F5D1F"/>
    <w:rsid w:val="00900D4F"/>
    <w:rsid w:val="00913D50"/>
    <w:rsid w:val="00920FF7"/>
    <w:rsid w:val="009220EF"/>
    <w:rsid w:val="00926C35"/>
    <w:rsid w:val="009309C3"/>
    <w:rsid w:val="00942E86"/>
    <w:rsid w:val="00964539"/>
    <w:rsid w:val="0099764F"/>
    <w:rsid w:val="009A2488"/>
    <w:rsid w:val="009A3B8F"/>
    <w:rsid w:val="009C335D"/>
    <w:rsid w:val="009D0BA8"/>
    <w:rsid w:val="009F0E11"/>
    <w:rsid w:val="009F73B5"/>
    <w:rsid w:val="00A01985"/>
    <w:rsid w:val="00A11D63"/>
    <w:rsid w:val="00A274BD"/>
    <w:rsid w:val="00A42E4E"/>
    <w:rsid w:val="00A44C54"/>
    <w:rsid w:val="00A513AA"/>
    <w:rsid w:val="00A66551"/>
    <w:rsid w:val="00A93619"/>
    <w:rsid w:val="00A95E1E"/>
    <w:rsid w:val="00AA41DB"/>
    <w:rsid w:val="00AB04E6"/>
    <w:rsid w:val="00AB38CB"/>
    <w:rsid w:val="00AC72E5"/>
    <w:rsid w:val="00AC739E"/>
    <w:rsid w:val="00AE3556"/>
    <w:rsid w:val="00B111E4"/>
    <w:rsid w:val="00B2508B"/>
    <w:rsid w:val="00B2704A"/>
    <w:rsid w:val="00B36A1C"/>
    <w:rsid w:val="00B47C1B"/>
    <w:rsid w:val="00B77B36"/>
    <w:rsid w:val="00B84654"/>
    <w:rsid w:val="00BD3A71"/>
    <w:rsid w:val="00BD6911"/>
    <w:rsid w:val="00BE2F30"/>
    <w:rsid w:val="00C017B9"/>
    <w:rsid w:val="00C171D8"/>
    <w:rsid w:val="00C46554"/>
    <w:rsid w:val="00C86443"/>
    <w:rsid w:val="00CA64E2"/>
    <w:rsid w:val="00CE1F3A"/>
    <w:rsid w:val="00CF66BE"/>
    <w:rsid w:val="00D0028C"/>
    <w:rsid w:val="00D21780"/>
    <w:rsid w:val="00D31DE9"/>
    <w:rsid w:val="00D70D8B"/>
    <w:rsid w:val="00D76959"/>
    <w:rsid w:val="00D92497"/>
    <w:rsid w:val="00D938F8"/>
    <w:rsid w:val="00DB2F5F"/>
    <w:rsid w:val="00E012DA"/>
    <w:rsid w:val="00E322D5"/>
    <w:rsid w:val="00E658E1"/>
    <w:rsid w:val="00E835DC"/>
    <w:rsid w:val="00EA1B4B"/>
    <w:rsid w:val="00EA2F13"/>
    <w:rsid w:val="00EA3D9F"/>
    <w:rsid w:val="00EB68E2"/>
    <w:rsid w:val="00ED2A10"/>
    <w:rsid w:val="00ED5397"/>
    <w:rsid w:val="00EE19F5"/>
    <w:rsid w:val="00EE7D2F"/>
    <w:rsid w:val="00F41F1F"/>
    <w:rsid w:val="00F429CD"/>
    <w:rsid w:val="00F80DA9"/>
    <w:rsid w:val="00F80DCA"/>
    <w:rsid w:val="00F90CA0"/>
    <w:rsid w:val="00F96AEE"/>
    <w:rsid w:val="00FC6CBF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2DEF44F"/>
  <w15:docId w15:val="{249171DC-4F74-4385-846D-30C81681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72E5"/>
    <w:rPr>
      <w:b/>
      <w:bCs/>
    </w:rPr>
  </w:style>
  <w:style w:type="character" w:styleId="Hyperlink">
    <w:name w:val="Hyperlink"/>
    <w:basedOn w:val="DefaultParagraphFont"/>
    <w:uiPriority w:val="99"/>
    <w:unhideWhenUsed/>
    <w:rsid w:val="00AC72E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C72E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91"/>
  </w:style>
  <w:style w:type="paragraph" w:styleId="Footer">
    <w:name w:val="footer"/>
    <w:basedOn w:val="Normal"/>
    <w:link w:val="FooterChar"/>
    <w:uiPriority w:val="99"/>
    <w:unhideWhenUsed/>
    <w:rsid w:val="0000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91"/>
  </w:style>
  <w:style w:type="paragraph" w:styleId="BalloonText">
    <w:name w:val="Balloon Text"/>
    <w:basedOn w:val="Normal"/>
    <w:link w:val="BalloonTextChar"/>
    <w:uiPriority w:val="99"/>
    <w:semiHidden/>
    <w:unhideWhenUsed/>
    <w:rsid w:val="002D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1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D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3D52"/>
    <w:pPr>
      <w:ind w:left="720"/>
      <w:contextualSpacing/>
    </w:pPr>
  </w:style>
  <w:style w:type="paragraph" w:styleId="Revision">
    <w:name w:val="Revision"/>
    <w:hidden/>
    <w:uiPriority w:val="99"/>
    <w:semiHidden/>
    <w:rsid w:val="009F0E1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1B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65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17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affairs.org/doi/full/10.1377/hlthaff.2018.05297" TargetMode="External"/><Relationship Id="rId13" Type="http://schemas.openxmlformats.org/officeDocument/2006/relationships/hyperlink" Target="file:///C:\Users\marcus.escobedo\AppData\Local\Microsoft\Windows\INetCache\Content.Outlook\NNG922NL\johnahartford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johnahartford.org/images/uploads/reports/JAHF_Accomplishments_Impact_Report_FINAL_1.7.2019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affairs.org/doi/full/10.1377/hlthaff.2018.0529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cus.escobedo@johnahartford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johnahartford.org/images/uploads/reports/JAHF_Accomplishments_Impact_Report_FINAL_1.7.2019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healthaffairs.org/doi/full/10.1377/hlthaff.2018.05297" TargetMode="External"/><Relationship Id="rId14" Type="http://schemas.openxmlformats.org/officeDocument/2006/relationships/hyperlink" Target="https://twitter.com/johnahartfor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A. Hartford Foundation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Churchouse</dc:creator>
  <cp:keywords/>
  <dc:description/>
  <cp:lastModifiedBy>Clare Churchouse</cp:lastModifiedBy>
  <cp:revision>2</cp:revision>
  <cp:lastPrinted>2019-01-02T17:28:00Z</cp:lastPrinted>
  <dcterms:created xsi:type="dcterms:W3CDTF">2019-01-07T21:20:00Z</dcterms:created>
  <dcterms:modified xsi:type="dcterms:W3CDTF">2019-01-07T21:20:00Z</dcterms:modified>
</cp:coreProperties>
</file>